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kinsoku/>
        <w:wordWrap/>
        <w:overflowPunct/>
        <w:topLinePunct w:val="0"/>
        <w:autoSpaceDE/>
        <w:autoSpaceDN/>
        <w:bidi w:val="0"/>
        <w:adjustRightInd/>
        <w:snapToGrid/>
        <w:spacing w:before="0" w:after="0" w:line="760" w:lineRule="exact"/>
        <w:jc w:val="center"/>
        <w:textAlignment w:val="auto"/>
        <w:rPr>
          <w:rFonts w:hint="eastAsia" w:ascii="方正小标宋简体" w:hAnsi="方正小标宋简体" w:eastAsia="方正小标宋简体" w:cs="方正小标宋简体"/>
          <w:b w:val="0"/>
          <w:bCs/>
          <w:sz w:val="44"/>
          <w:szCs w:val="44"/>
          <w:lang w:val="zh-CN"/>
        </w:rPr>
      </w:pPr>
      <w:r>
        <w:rPr>
          <w:rFonts w:hint="eastAsia" w:ascii="方正小标宋简体" w:hAnsi="方正小标宋简体" w:eastAsia="方正小标宋简体" w:cs="方正小标宋简体"/>
          <w:b w:val="0"/>
          <w:bCs/>
          <w:sz w:val="44"/>
          <w:szCs w:val="44"/>
          <w:lang w:val="zh-CN"/>
        </w:rPr>
        <w:t>贵州省黔南布依族苗族自治州非物质文化遗产保护中心</w:t>
      </w:r>
      <w:r>
        <w:rPr>
          <w:rFonts w:hint="eastAsia" w:ascii="Times New Roman" w:hAnsi="Times New Roman" w:eastAsia="方正小标宋简体" w:cs="方正小标宋简体"/>
          <w:b w:val="0"/>
          <w:bCs/>
          <w:sz w:val="44"/>
          <w:szCs w:val="44"/>
          <w:lang w:val="zh-CN"/>
        </w:rPr>
        <w:t>2020</w:t>
      </w:r>
      <w:r>
        <w:rPr>
          <w:rFonts w:hint="eastAsia" w:ascii="方正小标宋简体" w:hAnsi="方正小标宋简体" w:eastAsia="方正小标宋简体" w:cs="方正小标宋简体"/>
          <w:b w:val="0"/>
          <w:bCs/>
          <w:sz w:val="44"/>
          <w:szCs w:val="44"/>
          <w:lang w:val="zh-CN"/>
        </w:rPr>
        <w:t>年度部门决算及</w:t>
      </w:r>
      <w:bookmarkStart w:id="0" w:name="_GoBack"/>
      <w:r>
        <w:rPr>
          <w:rFonts w:hint="eastAsia" w:ascii="方正小标宋简体" w:hAnsi="方正小标宋简体" w:eastAsia="方正小标宋简体" w:cs="方正小标宋简体"/>
          <w:b w:val="0"/>
          <w:bCs/>
          <w:sz w:val="44"/>
          <w:szCs w:val="44"/>
          <w:lang w:val="zh-CN"/>
        </w:rPr>
        <w:t>“</w:t>
      </w:r>
      <w:r>
        <w:rPr>
          <w:rFonts w:hint="eastAsia" w:ascii="方正小标宋简体" w:hAnsi="方正小标宋简体" w:eastAsia="方正小标宋简体" w:cs="方正小标宋简体"/>
          <w:b w:val="0"/>
          <w:bCs/>
          <w:sz w:val="44"/>
          <w:szCs w:val="44"/>
          <w:lang w:val="zh-CN"/>
        </w:rPr>
        <w:t>三公</w:t>
      </w:r>
      <w:r>
        <w:rPr>
          <w:rFonts w:hint="eastAsia" w:ascii="方正小标宋简体" w:hAnsi="方正小标宋简体" w:eastAsia="方正小标宋简体" w:cs="方正小标宋简体"/>
          <w:b w:val="0"/>
          <w:bCs/>
          <w:sz w:val="44"/>
          <w:szCs w:val="44"/>
          <w:lang w:val="zh-CN"/>
        </w:rPr>
        <w:t>”经费决算公开说明</w:t>
      </w:r>
      <w:bookmarkEnd w:id="0"/>
    </w:p>
    <w:p>
      <w:pPr>
        <w:spacing w:before="75" w:beforeLines="0" w:after="225" w:afterLines="0" w:line="450" w:lineRule="atLeast"/>
        <w:ind w:firstLine="420"/>
        <w:jc w:val="both"/>
        <w:rPr>
          <w:rFonts w:hint="eastAsia" w:ascii="华文宋体" w:hAnsi="华文宋体" w:eastAsia="华文宋体" w:cs="华文宋体"/>
          <w:color w:val="333333"/>
          <w:sz w:val="24"/>
          <w:szCs w:val="24"/>
          <w:highlight w:val="white"/>
          <w:lang w:val="zh-CN"/>
        </w:rPr>
      </w:pP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rPr>
        <w:t>目录</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一、贵州省黔南布依族苗族自治州非物质文化遗产保护中心概况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二、贵州省黔南布依族苗族自治州非物质文化遗产保护中心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年度部门决算公开报表（见附表）</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三、贵州省黔南布依族苗族自治州非物质文化遗产保护中心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年度部门决算情况说明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四、名词解释</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rPr>
        <w:t>一、贵州省黔南布依族苗族自治州非物质文化遗产保护中心概况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（一）主要职能</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1</w:t>
      </w:r>
      <w:r>
        <w:rPr>
          <w:rFonts w:hint="eastAsia" w:ascii="仿宋" w:hAnsi="仿宋" w:eastAsia="仿宋" w:cs="仿宋"/>
          <w:color w:val="auto"/>
          <w:sz w:val="32"/>
          <w:szCs w:val="32"/>
          <w:lang w:val="en-US"/>
        </w:rPr>
        <w:t>、开展文化艺术研究和民族民间传统文化艺术整理发掘;负责全州戏剧、曲艺、音乐、民族民间工艺美术、民族民间舞蹈、民族民间文化历史、理论、创作、评论等方面的发掘、搜集和整理。</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2</w:t>
      </w:r>
      <w:r>
        <w:rPr>
          <w:rFonts w:hint="eastAsia" w:ascii="仿宋" w:hAnsi="仿宋" w:eastAsia="仿宋" w:cs="仿宋"/>
          <w:color w:val="auto"/>
          <w:sz w:val="32"/>
          <w:szCs w:val="32"/>
          <w:lang w:val="en-US"/>
        </w:rPr>
        <w:t>、承担全州非物质文化遗产的管理、业务指导、普查、项目申报、培训等相关工作；组织非物质文化遗产宣传活动，进行理论研究、推广保护经验。</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3</w:t>
      </w:r>
      <w:r>
        <w:rPr>
          <w:rFonts w:hint="eastAsia" w:ascii="仿宋" w:hAnsi="仿宋" w:eastAsia="仿宋" w:cs="仿宋"/>
          <w:color w:val="auto"/>
          <w:sz w:val="32"/>
          <w:szCs w:val="32"/>
          <w:lang w:val="en-US"/>
        </w:rPr>
        <w:t>、开展学术交流活动、非遗展览（演）、非遗培训；编辑非遗培训教材、出版科研成果、申报科研课题、做好非物质文化遗产数字化建设等工作。</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4</w:t>
      </w:r>
      <w:r>
        <w:rPr>
          <w:rFonts w:hint="eastAsia" w:ascii="仿宋" w:hAnsi="仿宋" w:eastAsia="仿宋" w:cs="仿宋"/>
          <w:color w:val="auto"/>
          <w:sz w:val="32"/>
          <w:szCs w:val="32"/>
          <w:lang w:val="en-US"/>
        </w:rPr>
        <w:t>、负责本单位的安全生产和消防安全工作，按规定做好大数据发展应用和做好非物质文化遗产数字化资源管理相关工作，依法促进单位政务数据资源规范管理、共享和开放。</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5</w:t>
      </w:r>
      <w:r>
        <w:rPr>
          <w:rFonts w:hint="eastAsia" w:ascii="仿宋" w:hAnsi="仿宋" w:eastAsia="仿宋" w:cs="仿宋"/>
          <w:color w:val="auto"/>
          <w:sz w:val="32"/>
          <w:szCs w:val="32"/>
          <w:lang w:val="en-US"/>
        </w:rPr>
        <w:t>、完成州委州政府、州文化广电和旅游局交办的其他事项。</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（二）机构设置及部门决算单位构成</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本单位（部门）内设</w:t>
      </w:r>
      <w:r>
        <w:rPr>
          <w:rFonts w:hint="eastAsia" w:ascii="Times New Roman" w:hAnsi="Times New Roman" w:eastAsia="仿宋" w:cs="仿宋"/>
          <w:color w:val="auto"/>
          <w:sz w:val="32"/>
          <w:szCs w:val="32"/>
          <w:lang w:val="en-US"/>
        </w:rPr>
        <w:t>3</w:t>
      </w:r>
      <w:r>
        <w:rPr>
          <w:rFonts w:hint="eastAsia" w:ascii="仿宋" w:hAnsi="仿宋" w:eastAsia="仿宋" w:cs="仿宋"/>
          <w:color w:val="auto"/>
          <w:sz w:val="32"/>
          <w:szCs w:val="32"/>
          <w:lang w:val="en-US"/>
        </w:rPr>
        <w:t>个科室。从预算单位构成看，贵州省黔南布依族苗族自治州非物质文化遗产保护中心部门决算包括：本级决算。</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rPr>
        <w:t>二、贵州省黔南布依族苗族自治州非物质文化遗产保护中心</w:t>
      </w:r>
      <w:r>
        <w:rPr>
          <w:rFonts w:hint="eastAsia" w:ascii="Times New Roman" w:hAnsi="Times New Roman" w:eastAsia="黑体" w:cs="黑体"/>
          <w:color w:val="auto"/>
          <w:sz w:val="32"/>
          <w:szCs w:val="32"/>
          <w:lang w:val="en-US"/>
        </w:rPr>
        <w:t>2020</w:t>
      </w:r>
      <w:r>
        <w:rPr>
          <w:rFonts w:hint="eastAsia" w:ascii="黑体" w:hAnsi="黑体" w:eastAsia="黑体" w:cs="黑体"/>
          <w:color w:val="auto"/>
          <w:sz w:val="32"/>
          <w:szCs w:val="32"/>
          <w:lang w:val="en-US"/>
        </w:rPr>
        <w:t>年度部门决算公开报表（见附表）</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rPr>
        <w:t>三、贵州省黔南布依族苗族自治州非物质文化遗产保护中心</w:t>
      </w:r>
      <w:r>
        <w:rPr>
          <w:rFonts w:hint="eastAsia" w:ascii="Times New Roman" w:hAnsi="Times New Roman" w:eastAsia="黑体" w:cs="黑体"/>
          <w:color w:val="auto"/>
          <w:sz w:val="32"/>
          <w:szCs w:val="32"/>
          <w:lang w:val="en-US"/>
        </w:rPr>
        <w:t>2020</w:t>
      </w:r>
      <w:r>
        <w:rPr>
          <w:rFonts w:hint="eastAsia" w:ascii="黑体" w:hAnsi="黑体" w:eastAsia="黑体" w:cs="黑体"/>
          <w:color w:val="auto"/>
          <w:sz w:val="32"/>
          <w:szCs w:val="32"/>
          <w:lang w:val="en-US"/>
        </w:rPr>
        <w:t>年度部门决算情况说明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（一）贵州省黔南布依族苗族自治州非物质文化遗产保护中心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年度收入支出决算总体情况说明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年度收支决算总计</w:t>
      </w:r>
      <w:r>
        <w:rPr>
          <w:rFonts w:hint="eastAsia" w:ascii="Times New Roman" w:hAnsi="Times New Roman" w:eastAsia="仿宋" w:cs="仿宋"/>
          <w:color w:val="auto"/>
          <w:sz w:val="32"/>
          <w:szCs w:val="32"/>
          <w:lang w:val="en-US"/>
        </w:rPr>
        <w:t>200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万元，与</w:t>
      </w:r>
      <w:r>
        <w:rPr>
          <w:rFonts w:hint="eastAsia" w:ascii="Times New Roman" w:hAnsi="Times New Roman" w:eastAsia="仿宋" w:cs="仿宋"/>
          <w:color w:val="auto"/>
          <w:sz w:val="32"/>
          <w:szCs w:val="32"/>
          <w:lang w:val="en-US"/>
        </w:rPr>
        <w:t>2019</w:t>
      </w:r>
      <w:r>
        <w:rPr>
          <w:rFonts w:hint="eastAsia" w:ascii="仿宋" w:hAnsi="仿宋" w:eastAsia="仿宋" w:cs="仿宋"/>
          <w:color w:val="auto"/>
          <w:sz w:val="32"/>
          <w:szCs w:val="32"/>
          <w:lang w:val="en-US"/>
        </w:rPr>
        <w:t>年相比，减少</w:t>
      </w:r>
      <w:r>
        <w:rPr>
          <w:rFonts w:hint="eastAsia" w:ascii="Times New Roman" w:hAnsi="Times New Roman" w:eastAsia="仿宋" w:cs="仿宋"/>
          <w:color w:val="auto"/>
          <w:sz w:val="32"/>
          <w:szCs w:val="32"/>
          <w:lang w:val="en-US"/>
        </w:rPr>
        <w:t>27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31</w:t>
      </w:r>
      <w:r>
        <w:rPr>
          <w:rFonts w:hint="eastAsia" w:ascii="仿宋" w:hAnsi="仿宋" w:eastAsia="仿宋" w:cs="仿宋"/>
          <w:color w:val="auto"/>
          <w:sz w:val="32"/>
          <w:szCs w:val="32"/>
          <w:lang w:val="en-US"/>
        </w:rPr>
        <w:t>万元，降低</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01</w:t>
      </w:r>
      <w:r>
        <w:rPr>
          <w:rFonts w:hint="eastAsia" w:ascii="仿宋" w:hAnsi="仿宋" w:eastAsia="仿宋" w:cs="仿宋"/>
          <w:color w:val="auto"/>
          <w:sz w:val="32"/>
          <w:szCs w:val="32"/>
          <w:lang w:val="en-US"/>
        </w:rPr>
        <w:t>%。变动的主要原因是：</w:t>
      </w:r>
      <w:r>
        <w:rPr>
          <w:rFonts w:hint="eastAsia" w:ascii="Times New Roman" w:hAnsi="Times New Roman" w:eastAsia="仿宋" w:cs="仿宋"/>
          <w:color w:val="auto"/>
          <w:sz w:val="32"/>
          <w:szCs w:val="32"/>
          <w:lang w:val="en-US"/>
        </w:rPr>
        <w:t>2019</w:t>
      </w:r>
      <w:r>
        <w:rPr>
          <w:rFonts w:hint="eastAsia" w:ascii="仿宋" w:hAnsi="仿宋" w:eastAsia="仿宋" w:cs="仿宋"/>
          <w:color w:val="auto"/>
          <w:sz w:val="32"/>
          <w:szCs w:val="32"/>
          <w:lang w:val="en-US"/>
        </w:rPr>
        <w:t>年使用</w:t>
      </w:r>
      <w:r>
        <w:rPr>
          <w:rFonts w:hint="eastAsia" w:ascii="Times New Roman" w:hAnsi="Times New Roman" w:eastAsia="仿宋" w:cs="仿宋"/>
          <w:color w:val="auto"/>
          <w:sz w:val="32"/>
          <w:szCs w:val="32"/>
          <w:lang w:val="en-US"/>
        </w:rPr>
        <w:t>2018</w:t>
      </w:r>
      <w:r>
        <w:rPr>
          <w:rFonts w:hint="eastAsia" w:ascii="仿宋" w:hAnsi="仿宋" w:eastAsia="仿宋" w:cs="仿宋"/>
          <w:color w:val="auto"/>
          <w:sz w:val="32"/>
          <w:szCs w:val="32"/>
          <w:lang w:val="en-US"/>
        </w:rPr>
        <w:t>年上年结余资金用于支付项目经费，</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年受疫情影响，减少项目支出。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（二）贵州省黔南布依族苗族自治州非物质文化遗产保护中心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年度收入决算情况说明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本年收入合计</w:t>
      </w:r>
      <w:r>
        <w:rPr>
          <w:rFonts w:hint="eastAsia" w:ascii="Times New Roman" w:hAnsi="Times New Roman" w:eastAsia="仿宋" w:cs="仿宋"/>
          <w:color w:val="auto"/>
          <w:sz w:val="32"/>
          <w:szCs w:val="32"/>
          <w:lang w:val="en-US"/>
        </w:rPr>
        <w:t>188</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95</w:t>
      </w:r>
      <w:r>
        <w:rPr>
          <w:rFonts w:hint="eastAsia" w:ascii="仿宋" w:hAnsi="仿宋" w:eastAsia="仿宋" w:cs="仿宋"/>
          <w:color w:val="auto"/>
          <w:sz w:val="32"/>
          <w:szCs w:val="32"/>
          <w:lang w:val="en-US"/>
        </w:rPr>
        <w:t>万元，其中：财政拨款收入</w:t>
      </w:r>
      <w:r>
        <w:rPr>
          <w:rFonts w:hint="eastAsia" w:ascii="Times New Roman" w:hAnsi="Times New Roman" w:eastAsia="仿宋" w:cs="仿宋"/>
          <w:color w:val="auto"/>
          <w:sz w:val="32"/>
          <w:szCs w:val="32"/>
          <w:lang w:val="en-US"/>
        </w:rPr>
        <w:t>188</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95</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100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%；上级补助收入</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%；事业收入</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%；经营收入</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%；附属单位缴款</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%；其他收入</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（三）贵州省黔南布依族苗族自治州非物质文化遗产保护中心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年度支出决算情况说明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本年支出合计</w:t>
      </w:r>
      <w:r>
        <w:rPr>
          <w:rFonts w:hint="eastAsia" w:ascii="Times New Roman" w:hAnsi="Times New Roman" w:eastAsia="仿宋" w:cs="仿宋"/>
          <w:color w:val="auto"/>
          <w:sz w:val="32"/>
          <w:szCs w:val="32"/>
          <w:lang w:val="en-US"/>
        </w:rPr>
        <w:t>192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万元，其中：基本支出</w:t>
      </w:r>
      <w:r>
        <w:rPr>
          <w:rFonts w:hint="eastAsia" w:ascii="Times New Roman" w:hAnsi="Times New Roman" w:eastAsia="仿宋" w:cs="仿宋"/>
          <w:color w:val="auto"/>
          <w:sz w:val="32"/>
          <w:szCs w:val="32"/>
          <w:lang w:val="en-US"/>
        </w:rPr>
        <w:t>192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100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%；项目支出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%；上缴上级支出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%；经营支出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%；对附属单位补助支出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（四）贵州省黔南布依族苗族自治州非物质文化遗产保护中心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年度财政拨款收入支出决算总体情况说明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年度财政拨款收入决算总计</w:t>
      </w:r>
      <w:r>
        <w:rPr>
          <w:rFonts w:hint="eastAsia" w:ascii="Times New Roman" w:hAnsi="Times New Roman" w:eastAsia="仿宋" w:cs="仿宋"/>
          <w:color w:val="auto"/>
          <w:sz w:val="32"/>
          <w:szCs w:val="32"/>
          <w:lang w:val="en-US"/>
        </w:rPr>
        <w:t>200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万元。与</w:t>
      </w:r>
      <w:r>
        <w:rPr>
          <w:rFonts w:hint="eastAsia" w:ascii="Times New Roman" w:hAnsi="Times New Roman" w:eastAsia="仿宋" w:cs="仿宋"/>
          <w:color w:val="auto"/>
          <w:sz w:val="32"/>
          <w:szCs w:val="32"/>
          <w:lang w:val="en-US"/>
        </w:rPr>
        <w:t>2019</w:t>
      </w:r>
      <w:r>
        <w:rPr>
          <w:rFonts w:hint="eastAsia" w:ascii="仿宋" w:hAnsi="仿宋" w:eastAsia="仿宋" w:cs="仿宋"/>
          <w:color w:val="auto"/>
          <w:sz w:val="32"/>
          <w:szCs w:val="32"/>
          <w:lang w:val="en-US"/>
        </w:rPr>
        <w:t>年相比，增加</w:t>
      </w:r>
      <w:r>
        <w:rPr>
          <w:rFonts w:hint="eastAsia" w:ascii="Times New Roman" w:hAnsi="Times New Roman" w:eastAsia="仿宋" w:cs="仿宋"/>
          <w:color w:val="auto"/>
          <w:sz w:val="32"/>
          <w:szCs w:val="32"/>
          <w:lang w:val="en-US"/>
        </w:rPr>
        <w:t>22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69</w:t>
      </w:r>
      <w:r>
        <w:rPr>
          <w:rFonts w:hint="eastAsia" w:ascii="仿宋" w:hAnsi="仿宋" w:eastAsia="仿宋" w:cs="仿宋"/>
          <w:color w:val="auto"/>
          <w:sz w:val="32"/>
          <w:szCs w:val="32"/>
          <w:lang w:val="en-US"/>
        </w:rPr>
        <w:t>万元，增长</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80</w:t>
      </w:r>
      <w:r>
        <w:rPr>
          <w:rFonts w:hint="eastAsia" w:ascii="仿宋" w:hAnsi="仿宋" w:eastAsia="仿宋" w:cs="仿宋"/>
          <w:color w:val="auto"/>
          <w:sz w:val="32"/>
          <w:szCs w:val="32"/>
          <w:lang w:val="en-US"/>
        </w:rPr>
        <w:t>%。变动的主要原因是：新进一人，退休一人，退休一次性补助增加，上年结转资金用于其他商品服务支出。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（五）贵州省黔南布依族苗族自治州非物质文化遗产保护中心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年度一般公共预算财政拨款支出决算情况说明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1</w:t>
      </w:r>
      <w:r>
        <w:rPr>
          <w:rFonts w:hint="eastAsia" w:ascii="仿宋" w:hAnsi="仿宋" w:eastAsia="仿宋" w:cs="仿宋"/>
          <w:color w:val="auto"/>
          <w:sz w:val="32"/>
          <w:szCs w:val="32"/>
          <w:lang w:val="en-US"/>
        </w:rPr>
        <w:t>、一般公共预算财政拨款支出决算总体情况    </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年度一般公共预算财政拨款支出</w:t>
      </w:r>
      <w:r>
        <w:rPr>
          <w:rFonts w:hint="eastAsia" w:ascii="Times New Roman" w:hAnsi="Times New Roman" w:eastAsia="仿宋" w:cs="仿宋"/>
          <w:color w:val="auto"/>
          <w:sz w:val="32"/>
          <w:szCs w:val="32"/>
          <w:lang w:val="en-US"/>
        </w:rPr>
        <w:t>192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万元，占本年支出合计的</w:t>
      </w:r>
      <w:r>
        <w:rPr>
          <w:rFonts w:hint="eastAsia" w:ascii="Times New Roman" w:hAnsi="Times New Roman" w:eastAsia="仿宋" w:cs="仿宋"/>
          <w:color w:val="auto"/>
          <w:sz w:val="32"/>
          <w:szCs w:val="32"/>
          <w:lang w:val="en-US"/>
        </w:rPr>
        <w:t>76</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88</w:t>
      </w:r>
      <w:r>
        <w:rPr>
          <w:rFonts w:hint="eastAsia" w:ascii="仿宋" w:hAnsi="仿宋" w:eastAsia="仿宋" w:cs="仿宋"/>
          <w:color w:val="auto"/>
          <w:sz w:val="32"/>
          <w:szCs w:val="32"/>
          <w:lang w:val="en-US"/>
        </w:rPr>
        <w:t>%。与</w:t>
      </w:r>
      <w:r>
        <w:rPr>
          <w:rFonts w:hint="eastAsia" w:ascii="Times New Roman" w:hAnsi="Times New Roman" w:eastAsia="仿宋" w:cs="仿宋"/>
          <w:color w:val="auto"/>
          <w:sz w:val="32"/>
          <w:szCs w:val="32"/>
          <w:lang w:val="en-US"/>
        </w:rPr>
        <w:t>2019</w:t>
      </w:r>
      <w:r>
        <w:rPr>
          <w:rFonts w:hint="eastAsia" w:ascii="仿宋" w:hAnsi="仿宋" w:eastAsia="仿宋" w:cs="仿宋"/>
          <w:color w:val="auto"/>
          <w:sz w:val="32"/>
          <w:szCs w:val="32"/>
          <w:lang w:val="en-US"/>
        </w:rPr>
        <w:t>年相比，一般公共预算财政拨款支出增加</w:t>
      </w:r>
      <w:r>
        <w:rPr>
          <w:rFonts w:hint="eastAsia" w:ascii="Times New Roman" w:hAnsi="Times New Roman" w:eastAsia="仿宋" w:cs="仿宋"/>
          <w:color w:val="auto"/>
          <w:sz w:val="32"/>
          <w:szCs w:val="32"/>
          <w:lang w:val="en-US"/>
        </w:rPr>
        <w:t>25</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91</w:t>
      </w:r>
      <w:r>
        <w:rPr>
          <w:rFonts w:hint="eastAsia" w:ascii="仿宋" w:hAnsi="仿宋" w:eastAsia="仿宋" w:cs="仿宋"/>
          <w:color w:val="auto"/>
          <w:sz w:val="32"/>
          <w:szCs w:val="32"/>
          <w:lang w:val="en-US"/>
        </w:rPr>
        <w:t>万元，增长</w:t>
      </w:r>
      <w:r>
        <w:rPr>
          <w:rFonts w:hint="eastAsia" w:ascii="Times New Roman" w:hAnsi="Times New Roman" w:eastAsia="仿宋" w:cs="仿宋"/>
          <w:color w:val="auto"/>
          <w:sz w:val="32"/>
          <w:szCs w:val="32"/>
          <w:lang w:val="en-US"/>
        </w:rPr>
        <w:t>15</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58</w:t>
      </w:r>
      <w:r>
        <w:rPr>
          <w:rFonts w:hint="eastAsia" w:ascii="仿宋" w:hAnsi="仿宋" w:eastAsia="仿宋" w:cs="仿宋"/>
          <w:color w:val="auto"/>
          <w:sz w:val="32"/>
          <w:szCs w:val="32"/>
          <w:lang w:val="en-US"/>
        </w:rPr>
        <w:t>%。变动的主要原因是：新进一人，退休一人缴实职业年金，社保基数调整。</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2</w:t>
      </w:r>
      <w:r>
        <w:rPr>
          <w:rFonts w:hint="eastAsia" w:ascii="仿宋" w:hAnsi="仿宋" w:eastAsia="仿宋" w:cs="仿宋"/>
          <w:color w:val="auto"/>
          <w:sz w:val="32"/>
          <w:szCs w:val="32"/>
          <w:lang w:val="en-US"/>
        </w:rPr>
        <w:t>、一般公共预算财政拨款支出决算结构情况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年度一般公共预算财政拨款支出主要用于以下方面：</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文化体育与传媒支出</w:t>
      </w:r>
      <w:r>
        <w:rPr>
          <w:rFonts w:hint="eastAsia" w:ascii="Times New Roman" w:hAnsi="Times New Roman" w:eastAsia="仿宋" w:cs="仿宋"/>
          <w:color w:val="auto"/>
          <w:sz w:val="32"/>
          <w:szCs w:val="32"/>
          <w:lang w:val="en-US"/>
        </w:rPr>
        <w:t>157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70</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82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06</w:t>
      </w:r>
      <w:r>
        <w:rPr>
          <w:rFonts w:hint="eastAsia" w:ascii="仿宋" w:hAnsi="仿宋" w:eastAsia="仿宋" w:cs="仿宋"/>
          <w:color w:val="auto"/>
          <w:sz w:val="32"/>
          <w:szCs w:val="32"/>
          <w:lang w:val="en-US"/>
        </w:rPr>
        <w:t>%；社会保障和就业支出</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15</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8</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92</w:t>
      </w:r>
      <w:r>
        <w:rPr>
          <w:rFonts w:hint="eastAsia" w:ascii="仿宋" w:hAnsi="仿宋" w:eastAsia="仿宋" w:cs="仿宋"/>
          <w:color w:val="auto"/>
          <w:sz w:val="32"/>
          <w:szCs w:val="32"/>
          <w:lang w:val="en-US"/>
        </w:rPr>
        <w:t>%；医疗卫生与计划生育支出</w:t>
      </w:r>
      <w:r>
        <w:rPr>
          <w:rFonts w:hint="eastAsia" w:ascii="Times New Roman" w:hAnsi="Times New Roman" w:eastAsia="仿宋" w:cs="仿宋"/>
          <w:color w:val="auto"/>
          <w:sz w:val="32"/>
          <w:szCs w:val="32"/>
          <w:lang w:val="en-US"/>
        </w:rPr>
        <w:t>4</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56</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38</w:t>
      </w:r>
      <w:r>
        <w:rPr>
          <w:rFonts w:hint="eastAsia" w:ascii="仿宋" w:hAnsi="仿宋" w:eastAsia="仿宋" w:cs="仿宋"/>
          <w:color w:val="auto"/>
          <w:sz w:val="32"/>
          <w:szCs w:val="32"/>
          <w:lang w:val="en-US"/>
        </w:rPr>
        <w:t>%；住房保障支出</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76</w:t>
      </w:r>
      <w:r>
        <w:rPr>
          <w:rFonts w:hint="eastAsia" w:ascii="仿宋" w:hAnsi="仿宋" w:eastAsia="仿宋" w:cs="仿宋"/>
          <w:color w:val="auto"/>
          <w:sz w:val="32"/>
          <w:szCs w:val="32"/>
          <w:lang w:val="en-US"/>
        </w:rPr>
        <w:t>万元，占</w:t>
      </w:r>
      <w:r>
        <w:rPr>
          <w:rFonts w:hint="eastAsia" w:ascii="Times New Roman" w:hAnsi="Times New Roman" w:eastAsia="仿宋" w:cs="仿宋"/>
          <w:color w:val="auto"/>
          <w:sz w:val="32"/>
          <w:szCs w:val="32"/>
          <w:lang w:val="en-US"/>
        </w:rPr>
        <w:t>6</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64</w:t>
      </w:r>
      <w:r>
        <w:rPr>
          <w:rFonts w:hint="eastAsia" w:ascii="仿宋" w:hAnsi="仿宋" w:eastAsia="仿宋" w:cs="仿宋"/>
          <w:color w:val="auto"/>
          <w:sz w:val="32"/>
          <w:szCs w:val="32"/>
          <w:lang w:val="en-US"/>
        </w:rPr>
        <w:t>%</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3</w:t>
      </w:r>
      <w:r>
        <w:rPr>
          <w:rFonts w:hint="eastAsia" w:ascii="仿宋" w:hAnsi="仿宋" w:eastAsia="仿宋" w:cs="仿宋"/>
          <w:color w:val="auto"/>
          <w:sz w:val="32"/>
          <w:szCs w:val="32"/>
          <w:lang w:val="en-US"/>
        </w:rPr>
        <w:t>、一般公共预算财政拨款支出决算具体情况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年度一般公共预算财政拨款支出当年预算为</w:t>
      </w:r>
      <w:r>
        <w:rPr>
          <w:rFonts w:hint="eastAsia" w:ascii="Times New Roman" w:hAnsi="Times New Roman" w:eastAsia="仿宋" w:cs="仿宋"/>
          <w:color w:val="auto"/>
          <w:sz w:val="32"/>
          <w:szCs w:val="32"/>
          <w:lang w:val="en-US"/>
        </w:rPr>
        <w:t>150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42</w:t>
      </w:r>
      <w:r>
        <w:rPr>
          <w:rFonts w:hint="eastAsia" w:ascii="仿宋" w:hAnsi="仿宋" w:eastAsia="仿宋" w:cs="仿宋"/>
          <w:color w:val="auto"/>
          <w:sz w:val="32"/>
          <w:szCs w:val="32"/>
          <w:lang w:val="en-US"/>
        </w:rPr>
        <w:t>万元，支出决算为</w:t>
      </w:r>
      <w:r>
        <w:rPr>
          <w:rFonts w:hint="eastAsia" w:ascii="Times New Roman" w:hAnsi="Times New Roman" w:eastAsia="仿宋" w:cs="仿宋"/>
          <w:color w:val="auto"/>
          <w:sz w:val="32"/>
          <w:szCs w:val="32"/>
          <w:lang w:val="en-US"/>
        </w:rPr>
        <w:t>192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万元，完成当年预算的</w:t>
      </w:r>
      <w:r>
        <w:rPr>
          <w:rFonts w:hint="eastAsia" w:ascii="Times New Roman" w:hAnsi="Times New Roman" w:eastAsia="仿宋" w:cs="仿宋"/>
          <w:color w:val="auto"/>
          <w:sz w:val="32"/>
          <w:szCs w:val="32"/>
          <w:lang w:val="en-US"/>
        </w:rPr>
        <w:t>127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76</w:t>
      </w:r>
      <w:r>
        <w:rPr>
          <w:rFonts w:hint="eastAsia" w:ascii="仿宋" w:hAnsi="仿宋" w:eastAsia="仿宋" w:cs="仿宋"/>
          <w:color w:val="auto"/>
          <w:sz w:val="32"/>
          <w:szCs w:val="32"/>
          <w:lang w:val="en-US"/>
        </w:rPr>
        <w:t>%。决算数大于预算数的主要原因是：人员经费增加。其中：</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w:t>
      </w:r>
      <w:r>
        <w:rPr>
          <w:rFonts w:hint="eastAsia" w:ascii="仿宋" w:hAnsi="仿宋" w:eastAsia="仿宋" w:cs="仿宋"/>
          <w:color w:val="auto"/>
          <w:sz w:val="32"/>
          <w:szCs w:val="32"/>
          <w:lang w:val="en-US"/>
        </w:rPr>
        <w:t>）文化体育与传媒支出。当年预算为</w:t>
      </w:r>
      <w:r>
        <w:rPr>
          <w:rFonts w:hint="eastAsia" w:ascii="Times New Roman" w:hAnsi="Times New Roman" w:eastAsia="仿宋" w:cs="仿宋"/>
          <w:color w:val="auto"/>
          <w:sz w:val="32"/>
          <w:szCs w:val="32"/>
          <w:lang w:val="en-US"/>
        </w:rPr>
        <w:t>129</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52</w:t>
      </w:r>
      <w:r>
        <w:rPr>
          <w:rFonts w:hint="eastAsia" w:ascii="仿宋" w:hAnsi="仿宋" w:eastAsia="仿宋" w:cs="仿宋"/>
          <w:color w:val="auto"/>
          <w:sz w:val="32"/>
          <w:szCs w:val="32"/>
          <w:lang w:val="en-US"/>
        </w:rPr>
        <w:t>万元，支出决算为</w:t>
      </w:r>
      <w:r>
        <w:rPr>
          <w:rFonts w:hint="eastAsia" w:ascii="Times New Roman" w:hAnsi="Times New Roman" w:eastAsia="仿宋" w:cs="仿宋"/>
          <w:color w:val="auto"/>
          <w:sz w:val="32"/>
          <w:szCs w:val="32"/>
          <w:lang w:val="en-US"/>
        </w:rPr>
        <w:t>157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70</w:t>
      </w:r>
      <w:r>
        <w:rPr>
          <w:rFonts w:hint="eastAsia" w:ascii="仿宋" w:hAnsi="仿宋" w:eastAsia="仿宋" w:cs="仿宋"/>
          <w:color w:val="auto"/>
          <w:sz w:val="32"/>
          <w:szCs w:val="32"/>
          <w:lang w:val="en-US"/>
        </w:rPr>
        <w:t>万元，完成当年预算的</w:t>
      </w:r>
      <w:r>
        <w:rPr>
          <w:rFonts w:hint="eastAsia" w:ascii="Times New Roman" w:hAnsi="Times New Roman" w:eastAsia="仿宋" w:cs="仿宋"/>
          <w:color w:val="auto"/>
          <w:sz w:val="32"/>
          <w:szCs w:val="32"/>
          <w:lang w:val="en-US"/>
        </w:rPr>
        <w:t>121</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76</w:t>
      </w:r>
      <w:r>
        <w:rPr>
          <w:rFonts w:hint="eastAsia" w:ascii="仿宋" w:hAnsi="仿宋" w:eastAsia="仿宋" w:cs="仿宋"/>
          <w:color w:val="auto"/>
          <w:sz w:val="32"/>
          <w:szCs w:val="32"/>
          <w:lang w:val="en-US"/>
        </w:rPr>
        <w:t>%。决算数大于预算数的主要原因是：人员经费追加。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2</w:t>
      </w:r>
      <w:r>
        <w:rPr>
          <w:rFonts w:hint="eastAsia" w:ascii="仿宋" w:hAnsi="仿宋" w:eastAsia="仿宋" w:cs="仿宋"/>
          <w:color w:val="auto"/>
          <w:sz w:val="32"/>
          <w:szCs w:val="32"/>
          <w:lang w:val="en-US"/>
        </w:rPr>
        <w:t>）社会保障和就业支出。当年预算为</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19</w:t>
      </w:r>
      <w:r>
        <w:rPr>
          <w:rFonts w:hint="eastAsia" w:ascii="仿宋" w:hAnsi="仿宋" w:eastAsia="仿宋" w:cs="仿宋"/>
          <w:color w:val="auto"/>
          <w:sz w:val="32"/>
          <w:szCs w:val="32"/>
          <w:lang w:val="en-US"/>
        </w:rPr>
        <w:t>万元，支出决算为</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15</w:t>
      </w:r>
      <w:r>
        <w:rPr>
          <w:rFonts w:hint="eastAsia" w:ascii="仿宋" w:hAnsi="仿宋" w:eastAsia="仿宋" w:cs="仿宋"/>
          <w:color w:val="auto"/>
          <w:sz w:val="32"/>
          <w:szCs w:val="32"/>
          <w:lang w:val="en-US"/>
        </w:rPr>
        <w:t>万元，完成当年预算的</w:t>
      </w:r>
      <w:r>
        <w:rPr>
          <w:rFonts w:hint="eastAsia" w:ascii="Times New Roman" w:hAnsi="Times New Roman" w:eastAsia="仿宋" w:cs="仿宋"/>
          <w:color w:val="auto"/>
          <w:sz w:val="32"/>
          <w:szCs w:val="32"/>
          <w:lang w:val="en-US"/>
        </w:rPr>
        <w:t>140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69</w:t>
      </w:r>
      <w:r>
        <w:rPr>
          <w:rFonts w:hint="eastAsia" w:ascii="仿宋" w:hAnsi="仿宋" w:eastAsia="仿宋" w:cs="仿宋"/>
          <w:color w:val="auto"/>
          <w:sz w:val="32"/>
          <w:szCs w:val="32"/>
          <w:lang w:val="en-US"/>
        </w:rPr>
        <w:t>%。决算数大于预算数的主要原因是：人员经费追加。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3</w:t>
      </w:r>
      <w:r>
        <w:rPr>
          <w:rFonts w:hint="eastAsia" w:ascii="仿宋" w:hAnsi="仿宋" w:eastAsia="仿宋" w:cs="仿宋"/>
          <w:color w:val="auto"/>
          <w:sz w:val="32"/>
          <w:szCs w:val="32"/>
          <w:lang w:val="en-US"/>
        </w:rPr>
        <w:t>）卫生健康支出。当年预算为</w:t>
      </w:r>
      <w:r>
        <w:rPr>
          <w:rFonts w:hint="eastAsia" w:ascii="Times New Roman" w:hAnsi="Times New Roman" w:eastAsia="仿宋" w:cs="仿宋"/>
          <w:color w:val="auto"/>
          <w:sz w:val="32"/>
          <w:szCs w:val="32"/>
          <w:lang w:val="en-US"/>
        </w:rPr>
        <w:t>4</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万元，支出决算为</w:t>
      </w:r>
      <w:r>
        <w:rPr>
          <w:rFonts w:hint="eastAsia" w:ascii="Times New Roman" w:hAnsi="Times New Roman" w:eastAsia="仿宋" w:cs="仿宋"/>
          <w:color w:val="auto"/>
          <w:sz w:val="32"/>
          <w:szCs w:val="32"/>
          <w:lang w:val="en-US"/>
        </w:rPr>
        <w:t>4</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56</w:t>
      </w:r>
      <w:r>
        <w:rPr>
          <w:rFonts w:hint="eastAsia" w:ascii="仿宋" w:hAnsi="仿宋" w:eastAsia="仿宋" w:cs="仿宋"/>
          <w:color w:val="auto"/>
          <w:sz w:val="32"/>
          <w:szCs w:val="32"/>
          <w:lang w:val="en-US"/>
        </w:rPr>
        <w:t>万元，完成当年预算的</w:t>
      </w:r>
      <w:r>
        <w:rPr>
          <w:rFonts w:hint="eastAsia" w:ascii="Times New Roman" w:hAnsi="Times New Roman" w:eastAsia="仿宋" w:cs="仿宋"/>
          <w:color w:val="auto"/>
          <w:sz w:val="32"/>
          <w:szCs w:val="32"/>
          <w:lang w:val="en-US"/>
        </w:rPr>
        <w:t>109</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35</w:t>
      </w:r>
      <w:r>
        <w:rPr>
          <w:rFonts w:hint="eastAsia" w:ascii="仿宋" w:hAnsi="仿宋" w:eastAsia="仿宋" w:cs="仿宋"/>
          <w:color w:val="auto"/>
          <w:sz w:val="32"/>
          <w:szCs w:val="32"/>
          <w:lang w:val="en-US"/>
        </w:rPr>
        <w:t>%。决算数大于预算数的主要原因是：人员经费追加。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4</w:t>
      </w:r>
      <w:r>
        <w:rPr>
          <w:rFonts w:hint="eastAsia" w:ascii="仿宋" w:hAnsi="仿宋" w:eastAsia="仿宋" w:cs="仿宋"/>
          <w:color w:val="auto"/>
          <w:sz w:val="32"/>
          <w:szCs w:val="32"/>
          <w:lang w:val="en-US"/>
        </w:rPr>
        <w:t>）住房保障支出。当年预算为</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54</w:t>
      </w:r>
      <w:r>
        <w:rPr>
          <w:rFonts w:hint="eastAsia" w:ascii="仿宋" w:hAnsi="仿宋" w:eastAsia="仿宋" w:cs="仿宋"/>
          <w:color w:val="auto"/>
          <w:sz w:val="32"/>
          <w:szCs w:val="32"/>
          <w:lang w:val="en-US"/>
        </w:rPr>
        <w:t>万元，支出决算为</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76</w:t>
      </w:r>
      <w:r>
        <w:rPr>
          <w:rFonts w:hint="eastAsia" w:ascii="仿宋" w:hAnsi="仿宋" w:eastAsia="仿宋" w:cs="仿宋"/>
          <w:color w:val="auto"/>
          <w:sz w:val="32"/>
          <w:szCs w:val="32"/>
          <w:lang w:val="en-US"/>
        </w:rPr>
        <w:t>万元，完成当年预算的</w:t>
      </w:r>
      <w:r>
        <w:rPr>
          <w:rFonts w:hint="eastAsia" w:ascii="Times New Roman" w:hAnsi="Times New Roman" w:eastAsia="仿宋" w:cs="仿宋"/>
          <w:color w:val="auto"/>
          <w:sz w:val="32"/>
          <w:szCs w:val="32"/>
          <w:lang w:val="en-US"/>
        </w:rPr>
        <w:t>101</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75</w:t>
      </w:r>
      <w:r>
        <w:rPr>
          <w:rFonts w:hint="eastAsia" w:ascii="仿宋" w:hAnsi="仿宋" w:eastAsia="仿宋" w:cs="仿宋"/>
          <w:color w:val="auto"/>
          <w:sz w:val="32"/>
          <w:szCs w:val="32"/>
          <w:lang w:val="en-US"/>
        </w:rPr>
        <w:t>%。决算数大于预算数的主要原因是：人员经费追加。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（六）贵州省黔南布依族苗族自治州非物质文化遗产保护中心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年度一般公共预算财政拨款基本支出</w:t>
      </w:r>
      <w:r>
        <w:rPr>
          <w:rFonts w:hint="eastAsia" w:ascii="Times New Roman" w:hAnsi="Times New Roman" w:eastAsia="仿宋" w:cs="仿宋"/>
          <w:color w:val="auto"/>
          <w:sz w:val="32"/>
          <w:szCs w:val="32"/>
          <w:lang w:val="en-US"/>
        </w:rPr>
        <w:t>192</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17</w:t>
      </w:r>
      <w:r>
        <w:rPr>
          <w:rFonts w:hint="eastAsia" w:ascii="仿宋" w:hAnsi="仿宋" w:eastAsia="仿宋" w:cs="仿宋"/>
          <w:color w:val="auto"/>
          <w:sz w:val="32"/>
          <w:szCs w:val="32"/>
          <w:lang w:val="en-US"/>
        </w:rPr>
        <w:t>万元，其中：人员经费</w:t>
      </w:r>
      <w:r>
        <w:rPr>
          <w:rFonts w:hint="eastAsia" w:ascii="Times New Roman" w:hAnsi="Times New Roman" w:eastAsia="仿宋" w:cs="仿宋"/>
          <w:color w:val="auto"/>
          <w:sz w:val="32"/>
          <w:szCs w:val="32"/>
          <w:lang w:val="en-US"/>
        </w:rPr>
        <w:t>177</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92</w:t>
      </w:r>
      <w:r>
        <w:rPr>
          <w:rFonts w:hint="eastAsia" w:ascii="仿宋" w:hAnsi="仿宋" w:eastAsia="仿宋" w:cs="仿宋"/>
          <w:color w:val="auto"/>
          <w:sz w:val="32"/>
          <w:szCs w:val="32"/>
          <w:lang w:val="en-US"/>
        </w:rPr>
        <w:t>万元，主要包括基本工资、津贴补贴、离退休费；公用经费</w:t>
      </w:r>
      <w:r>
        <w:rPr>
          <w:rFonts w:hint="eastAsia" w:ascii="Times New Roman" w:hAnsi="Times New Roman" w:eastAsia="仿宋" w:cs="仿宋"/>
          <w:color w:val="auto"/>
          <w:sz w:val="32"/>
          <w:szCs w:val="32"/>
          <w:lang w:val="en-US"/>
        </w:rPr>
        <w:t>14</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25</w:t>
      </w:r>
      <w:r>
        <w:rPr>
          <w:rFonts w:hint="eastAsia" w:ascii="仿宋" w:hAnsi="仿宋" w:eastAsia="仿宋" w:cs="仿宋"/>
          <w:color w:val="auto"/>
          <w:sz w:val="32"/>
          <w:szCs w:val="32"/>
          <w:lang w:val="en-US"/>
        </w:rPr>
        <w:t>万元，主要包括办公费、水电费、差旅费。</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（七）贵州省黔南布依族苗族自治州非物质文化遗产保护中心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年度一般公共预算财政拨款“三公”经费支出决算情况说明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年度“三公”经费一般公共预算财政拨款支出决算</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万元，比上年减少</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万元，降低</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%，减少原因是：无。其中，因公出国（境）费支出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万元，占“三公”经费支出总额的</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%，比上年减少</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万元，降低</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%，减少原因是：无；公务用车购置及运行维护费支出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万元，占“三公”经费支出总额的</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 xml:space="preserve">%，比上年 减少 </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万元，降低</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%，减少原因是：无；公务接待费支出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万元，占“三公”经费支出总额的</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%，比上年减少</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万元，降低</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%，减少原因是：无。具体情况如下：</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1</w:t>
      </w:r>
      <w:r>
        <w:rPr>
          <w:rFonts w:hint="eastAsia" w:ascii="仿宋" w:hAnsi="仿宋" w:eastAsia="仿宋" w:cs="仿宋"/>
          <w:color w:val="auto"/>
          <w:sz w:val="32"/>
          <w:szCs w:val="32"/>
          <w:lang w:val="en-US"/>
        </w:rPr>
        <w:t>）因公出国（境）费支出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万元。贵州省黔南布依族苗族自治州非物质文化遗产保护中心全年使用一般公共预算财政拨款安排的出国（境）团组</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个，累计</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人次。开支内容包括：无。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2</w:t>
      </w:r>
      <w:r>
        <w:rPr>
          <w:rFonts w:hint="eastAsia" w:ascii="仿宋" w:hAnsi="仿宋" w:eastAsia="仿宋" w:cs="仿宋"/>
          <w:color w:val="auto"/>
          <w:sz w:val="32"/>
          <w:szCs w:val="32"/>
          <w:lang w:val="en-US"/>
        </w:rPr>
        <w:t>）公务用车购置及运行维护费</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万元,其中，公务用车购置</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万元，公务用车运行维护费</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万元。主要用于：无。</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年，单位开支一般公共预算财政拨款的公务用车保有量为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辆。</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3</w:t>
      </w:r>
      <w:r>
        <w:rPr>
          <w:rFonts w:hint="eastAsia" w:ascii="仿宋" w:hAnsi="仿宋" w:eastAsia="仿宋" w:cs="仿宋"/>
          <w:color w:val="auto"/>
          <w:sz w:val="32"/>
          <w:szCs w:val="32"/>
          <w:lang w:val="en-US"/>
        </w:rPr>
        <w:t>）公务接待费</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万元。其中，国内公务接待支出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万元，主要是：无。贵州省黔南布依族苗族自治州非物质文化遗产保护中心</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年国内公务接待</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批次，</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人次。</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（八）政府性基金预算收入支出决算情况说明贵州省黔南布依族苗族自治州非物质文化遗产保护中心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年政府性基金预算财政拨款本年收入</w:t>
      </w:r>
      <w:r>
        <w:rPr>
          <w:rFonts w:hint="eastAsia" w:ascii="Times New Roman" w:hAnsi="Times New Roman" w:eastAsia="楷体" w:cs="楷体"/>
          <w:color w:val="auto"/>
          <w:sz w:val="32"/>
          <w:szCs w:val="32"/>
          <w:lang w:val="en-US"/>
        </w:rPr>
        <w:t>0</w:t>
      </w:r>
      <w:r>
        <w:rPr>
          <w:rFonts w:hint="eastAsia" w:ascii="楷体" w:hAnsi="楷体" w:eastAsia="楷体" w:cs="楷体"/>
          <w:color w:val="auto"/>
          <w:sz w:val="32"/>
          <w:szCs w:val="32"/>
          <w:lang w:val="en-US"/>
        </w:rPr>
        <w:t>.</w:t>
      </w:r>
      <w:r>
        <w:rPr>
          <w:rFonts w:hint="eastAsia" w:ascii="Times New Roman" w:hAnsi="Times New Roman" w:eastAsia="楷体" w:cs="楷体"/>
          <w:color w:val="auto"/>
          <w:sz w:val="32"/>
          <w:szCs w:val="32"/>
          <w:lang w:val="en-US"/>
        </w:rPr>
        <w:t>00</w:t>
      </w:r>
      <w:r>
        <w:rPr>
          <w:rFonts w:hint="eastAsia" w:ascii="楷体" w:hAnsi="楷体" w:eastAsia="楷体" w:cs="楷体"/>
          <w:color w:val="auto"/>
          <w:sz w:val="32"/>
          <w:szCs w:val="32"/>
          <w:lang w:val="en-US"/>
        </w:rPr>
        <w:t>万元，本年支出</w:t>
      </w:r>
      <w:r>
        <w:rPr>
          <w:rFonts w:hint="eastAsia" w:ascii="Times New Roman" w:hAnsi="Times New Roman" w:eastAsia="楷体" w:cs="楷体"/>
          <w:color w:val="auto"/>
          <w:sz w:val="32"/>
          <w:szCs w:val="32"/>
          <w:lang w:val="en-US"/>
        </w:rPr>
        <w:t>0</w:t>
      </w:r>
      <w:r>
        <w:rPr>
          <w:rFonts w:hint="eastAsia" w:ascii="楷体" w:hAnsi="楷体" w:eastAsia="楷体" w:cs="楷体"/>
          <w:color w:val="auto"/>
          <w:sz w:val="32"/>
          <w:szCs w:val="32"/>
          <w:lang w:val="en-US"/>
        </w:rPr>
        <w:t>.</w:t>
      </w:r>
      <w:r>
        <w:rPr>
          <w:rFonts w:hint="eastAsia" w:ascii="Times New Roman" w:hAnsi="Times New Roman" w:eastAsia="楷体" w:cs="楷体"/>
          <w:color w:val="auto"/>
          <w:sz w:val="32"/>
          <w:szCs w:val="32"/>
          <w:lang w:val="en-US"/>
        </w:rPr>
        <w:t>00</w:t>
      </w:r>
      <w:r>
        <w:rPr>
          <w:rFonts w:hint="eastAsia" w:ascii="楷体" w:hAnsi="楷体" w:eastAsia="楷体" w:cs="楷体"/>
          <w:color w:val="auto"/>
          <w:sz w:val="32"/>
          <w:szCs w:val="32"/>
          <w:lang w:val="en-US"/>
        </w:rPr>
        <w:t>万元。</w:t>
      </w:r>
      <w:r>
        <w:rPr>
          <w:rFonts w:hint="eastAsia" w:ascii="仿宋" w:hAnsi="仿宋" w:eastAsia="仿宋" w:cs="仿宋"/>
          <w:color w:val="auto"/>
          <w:sz w:val="32"/>
          <w:szCs w:val="32"/>
          <w:lang w:val="en-US"/>
        </w:rPr>
        <w:t>具体支出情况如下：无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（九）国有资本经营预算收入支出决算情况说明贵州省黔南布依族苗族自治州非物质文化遗产保护中心</w:t>
      </w:r>
      <w:r>
        <w:rPr>
          <w:rFonts w:hint="eastAsia" w:ascii="Times New Roman" w:hAnsi="Times New Roman" w:eastAsia="楷体" w:cs="楷体"/>
          <w:color w:val="auto"/>
          <w:sz w:val="32"/>
          <w:szCs w:val="32"/>
          <w:lang w:val="en-US"/>
        </w:rPr>
        <w:t>2020</w:t>
      </w:r>
      <w:r>
        <w:rPr>
          <w:rFonts w:hint="eastAsia" w:ascii="楷体" w:hAnsi="楷体" w:eastAsia="楷体" w:cs="楷体"/>
          <w:color w:val="auto"/>
          <w:sz w:val="32"/>
          <w:szCs w:val="32"/>
          <w:lang w:val="en-US"/>
        </w:rPr>
        <w:t>年国有资本经营预算财政拨款本年收入</w:t>
      </w:r>
      <w:r>
        <w:rPr>
          <w:rFonts w:hint="eastAsia" w:ascii="Times New Roman" w:hAnsi="Times New Roman" w:eastAsia="楷体" w:cs="楷体"/>
          <w:color w:val="auto"/>
          <w:sz w:val="32"/>
          <w:szCs w:val="32"/>
          <w:lang w:val="en-US"/>
        </w:rPr>
        <w:t>0</w:t>
      </w:r>
      <w:r>
        <w:rPr>
          <w:rFonts w:hint="eastAsia" w:ascii="楷体" w:hAnsi="楷体" w:eastAsia="楷体" w:cs="楷体"/>
          <w:color w:val="auto"/>
          <w:sz w:val="32"/>
          <w:szCs w:val="32"/>
          <w:lang w:val="en-US"/>
        </w:rPr>
        <w:t>.</w:t>
      </w:r>
      <w:r>
        <w:rPr>
          <w:rFonts w:hint="eastAsia" w:ascii="Times New Roman" w:hAnsi="Times New Roman" w:eastAsia="楷体" w:cs="楷体"/>
          <w:color w:val="auto"/>
          <w:sz w:val="32"/>
          <w:szCs w:val="32"/>
          <w:lang w:val="en-US"/>
        </w:rPr>
        <w:t>00</w:t>
      </w:r>
      <w:r>
        <w:rPr>
          <w:rFonts w:hint="eastAsia" w:ascii="楷体" w:hAnsi="楷体" w:eastAsia="楷体" w:cs="楷体"/>
          <w:color w:val="auto"/>
          <w:sz w:val="32"/>
          <w:szCs w:val="32"/>
          <w:lang w:val="en-US"/>
        </w:rPr>
        <w:t>万元，本年支出</w:t>
      </w:r>
      <w:r>
        <w:rPr>
          <w:rFonts w:hint="eastAsia" w:ascii="Times New Roman" w:hAnsi="Times New Roman" w:eastAsia="楷体" w:cs="楷体"/>
          <w:color w:val="auto"/>
          <w:sz w:val="32"/>
          <w:szCs w:val="32"/>
          <w:lang w:val="en-US"/>
        </w:rPr>
        <w:t>0</w:t>
      </w:r>
      <w:r>
        <w:rPr>
          <w:rFonts w:hint="eastAsia" w:ascii="楷体" w:hAnsi="楷体" w:eastAsia="楷体" w:cs="楷体"/>
          <w:color w:val="auto"/>
          <w:sz w:val="32"/>
          <w:szCs w:val="32"/>
          <w:lang w:val="en-US"/>
        </w:rPr>
        <w:t>.</w:t>
      </w:r>
      <w:r>
        <w:rPr>
          <w:rFonts w:hint="eastAsia" w:ascii="Times New Roman" w:hAnsi="Times New Roman" w:eastAsia="楷体" w:cs="楷体"/>
          <w:color w:val="auto"/>
          <w:sz w:val="32"/>
          <w:szCs w:val="32"/>
          <w:lang w:val="en-US"/>
        </w:rPr>
        <w:t>00</w:t>
      </w:r>
      <w:r>
        <w:rPr>
          <w:rFonts w:hint="eastAsia" w:ascii="楷体" w:hAnsi="楷体" w:eastAsia="楷体" w:cs="楷体"/>
          <w:color w:val="auto"/>
          <w:sz w:val="32"/>
          <w:szCs w:val="32"/>
          <w:lang w:val="en-US"/>
        </w:rPr>
        <w:t>万元。</w:t>
      </w:r>
      <w:r>
        <w:rPr>
          <w:rFonts w:hint="eastAsia" w:ascii="仿宋" w:hAnsi="仿宋" w:eastAsia="仿宋" w:cs="仿宋"/>
          <w:color w:val="auto"/>
          <w:sz w:val="32"/>
          <w:szCs w:val="32"/>
          <w:lang w:val="en-US"/>
        </w:rPr>
        <w:t>具体支出情况如下：无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楷体" w:hAnsi="楷体" w:eastAsia="楷体" w:cs="楷体"/>
          <w:color w:val="auto"/>
          <w:sz w:val="32"/>
          <w:szCs w:val="32"/>
          <w:lang w:val="en-US"/>
        </w:rPr>
      </w:pPr>
      <w:r>
        <w:rPr>
          <w:rFonts w:hint="eastAsia" w:ascii="楷体" w:hAnsi="楷体" w:eastAsia="楷体" w:cs="楷体"/>
          <w:color w:val="auto"/>
          <w:sz w:val="32"/>
          <w:szCs w:val="32"/>
          <w:lang w:val="en-US"/>
        </w:rPr>
        <w:t>（十）其他重要事项的情况说明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1</w:t>
      </w:r>
      <w:r>
        <w:rPr>
          <w:rFonts w:hint="eastAsia" w:ascii="仿宋" w:hAnsi="仿宋" w:eastAsia="仿宋" w:cs="仿宋"/>
          <w:color w:val="auto"/>
          <w:sz w:val="32"/>
          <w:szCs w:val="32"/>
          <w:lang w:val="en-US"/>
        </w:rPr>
        <w:t>、机关运行经费支出情况。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年贵州省黔南布依族苗族自治州非物质文化遗产保护中心机关运行经费支出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万元，比</w:t>
      </w:r>
      <w:r>
        <w:rPr>
          <w:rFonts w:hint="eastAsia" w:ascii="Times New Roman" w:hAnsi="Times New Roman" w:eastAsia="仿宋" w:cs="仿宋"/>
          <w:color w:val="auto"/>
          <w:sz w:val="32"/>
          <w:szCs w:val="32"/>
          <w:lang w:val="en-US"/>
        </w:rPr>
        <w:t>2019</w:t>
      </w:r>
      <w:r>
        <w:rPr>
          <w:rFonts w:hint="eastAsia" w:ascii="仿宋" w:hAnsi="仿宋" w:eastAsia="仿宋" w:cs="仿宋"/>
          <w:color w:val="auto"/>
          <w:sz w:val="32"/>
          <w:szCs w:val="32"/>
          <w:lang w:val="en-US"/>
        </w:rPr>
        <w:t>年增加</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万元，降低</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r>
        <w:rPr>
          <w:rFonts w:hint="eastAsia" w:ascii="Times New Roman" w:hAnsi="Times New Roman" w:eastAsia="仿宋" w:cs="仿宋"/>
          <w:color w:val="auto"/>
          <w:sz w:val="32"/>
          <w:szCs w:val="32"/>
          <w:lang w:val="en-US"/>
        </w:rPr>
        <w:t>00</w:t>
      </w:r>
      <w:r>
        <w:rPr>
          <w:rFonts w:hint="eastAsia" w:ascii="仿宋" w:hAnsi="仿宋" w:eastAsia="仿宋" w:cs="仿宋"/>
          <w:color w:val="auto"/>
          <w:sz w:val="32"/>
          <w:szCs w:val="32"/>
          <w:lang w:val="en-US"/>
        </w:rPr>
        <w:t>%，变动的主要原因是：无。</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2</w:t>
      </w:r>
      <w:r>
        <w:rPr>
          <w:rFonts w:hint="eastAsia" w:ascii="仿宋" w:hAnsi="仿宋" w:eastAsia="仿宋" w:cs="仿宋"/>
          <w:color w:val="auto"/>
          <w:sz w:val="32"/>
          <w:szCs w:val="32"/>
          <w:lang w:val="en-US"/>
        </w:rPr>
        <w:t>、政府采购支出情况。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年我单位政府采购支出总额</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万元，其中：政府采购货物支出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万元、政府采购工程支出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万元、政府采购服务支出</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万元；授予中小企业合同金额</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万元，占政府采购支出总额的</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%，其中：授予小微企业合同金额</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万元，占政府采购支出总额的</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3</w:t>
      </w:r>
      <w:r>
        <w:rPr>
          <w:rFonts w:hint="eastAsia" w:ascii="仿宋" w:hAnsi="仿宋" w:eastAsia="仿宋" w:cs="仿宋"/>
          <w:color w:val="auto"/>
          <w:sz w:val="32"/>
          <w:szCs w:val="32"/>
          <w:lang w:val="en-US"/>
        </w:rPr>
        <w:t>、国有资产占用情况。</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截至</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w:t>
      </w:r>
      <w:r>
        <w:rPr>
          <w:rFonts w:hint="eastAsia" w:ascii="Times New Roman" w:hAnsi="Times New Roman" w:eastAsia="仿宋" w:cs="仿宋"/>
          <w:color w:val="auto"/>
          <w:sz w:val="32"/>
          <w:szCs w:val="32"/>
          <w:lang w:val="en-US"/>
        </w:rPr>
        <w:t>12</w:t>
      </w:r>
      <w:r>
        <w:rPr>
          <w:rFonts w:hint="eastAsia" w:ascii="仿宋" w:hAnsi="仿宋" w:eastAsia="仿宋" w:cs="仿宋"/>
          <w:color w:val="auto"/>
          <w:sz w:val="32"/>
          <w:szCs w:val="32"/>
          <w:lang w:val="en-US"/>
        </w:rPr>
        <w:t>月</w:t>
      </w:r>
      <w:r>
        <w:rPr>
          <w:rFonts w:hint="eastAsia" w:ascii="Times New Roman" w:hAnsi="Times New Roman" w:eastAsia="仿宋" w:cs="仿宋"/>
          <w:color w:val="auto"/>
          <w:sz w:val="32"/>
          <w:szCs w:val="32"/>
          <w:lang w:val="en-US"/>
        </w:rPr>
        <w:t>31</w:t>
      </w:r>
      <w:r>
        <w:rPr>
          <w:rFonts w:hint="eastAsia" w:ascii="仿宋" w:hAnsi="仿宋" w:eastAsia="仿宋" w:cs="仿宋"/>
          <w:color w:val="auto"/>
          <w:sz w:val="32"/>
          <w:szCs w:val="32"/>
          <w:lang w:val="en-US"/>
        </w:rPr>
        <w:t>日，我单位共有车辆</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辆，其中，应急保障用车</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辆、执法执勤用车</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辆、特种专业技术用车</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辆、其他用车</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辆（其他用车主要用途是：无）；单位价值</w:t>
      </w:r>
      <w:r>
        <w:rPr>
          <w:rFonts w:hint="eastAsia" w:ascii="Times New Roman" w:hAnsi="Times New Roman" w:eastAsia="仿宋" w:cs="仿宋"/>
          <w:color w:val="auto"/>
          <w:sz w:val="32"/>
          <w:szCs w:val="32"/>
          <w:lang w:val="en-US"/>
        </w:rPr>
        <w:t>50</w:t>
      </w:r>
      <w:r>
        <w:rPr>
          <w:rFonts w:hint="eastAsia" w:ascii="仿宋" w:hAnsi="仿宋" w:eastAsia="仿宋" w:cs="仿宋"/>
          <w:color w:val="auto"/>
          <w:sz w:val="32"/>
          <w:szCs w:val="32"/>
          <w:lang w:val="en-US"/>
        </w:rPr>
        <w:t>万元以上通用设备</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台（套），单位价值</w:t>
      </w:r>
      <w:r>
        <w:rPr>
          <w:rFonts w:hint="eastAsia" w:ascii="Times New Roman" w:hAnsi="Times New Roman" w:eastAsia="仿宋" w:cs="仿宋"/>
          <w:color w:val="auto"/>
          <w:sz w:val="32"/>
          <w:szCs w:val="32"/>
          <w:lang w:val="en-US"/>
        </w:rPr>
        <w:t>100</w:t>
      </w:r>
      <w:r>
        <w:rPr>
          <w:rFonts w:hint="eastAsia" w:ascii="仿宋" w:hAnsi="仿宋" w:eastAsia="仿宋" w:cs="仿宋"/>
          <w:color w:val="auto"/>
          <w:sz w:val="32"/>
          <w:szCs w:val="32"/>
          <w:lang w:val="en-US"/>
        </w:rPr>
        <w:t>万元以上专用设备</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台（套）。</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Times New Roman" w:hAnsi="Times New Roman" w:eastAsia="仿宋" w:cs="仿宋"/>
          <w:color w:val="auto"/>
          <w:sz w:val="32"/>
          <w:szCs w:val="32"/>
          <w:lang w:val="en-US"/>
        </w:rPr>
        <w:t>4</w:t>
      </w:r>
      <w:r>
        <w:rPr>
          <w:rFonts w:hint="eastAsia" w:ascii="仿宋" w:hAnsi="仿宋" w:eastAsia="仿宋" w:cs="仿宋"/>
          <w:color w:val="auto"/>
          <w:sz w:val="32"/>
          <w:szCs w:val="32"/>
          <w:lang w:val="en-US"/>
        </w:rPr>
        <w:t>、预算绩效管理情况说明</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仿宋" w:hAnsi="仿宋" w:eastAsia="仿宋" w:cs="仿宋"/>
          <w:color w:val="auto"/>
          <w:sz w:val="32"/>
          <w:szCs w:val="32"/>
          <w:lang w:val="en-US"/>
        </w:rPr>
        <w:t>根据预算绩效管理的要求，我单位开展了</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年预算支出绩效自评工作，根据年初批复的《部门整体支出绩效目标表》设定的年度工作任务目标（含州委州政府及上级主管部门安排的工作任务），结合</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本单位完成年度工作任务的实际情况，对本单位整体情况做了自评。同时，根据《项目支出绩效目标表》设定的绩效目标，结合项目实施情况，对州本级及上级项目资金从预算执行情况、资金和项目管理情况，以及项目实现的产出情况和产生的效益等方面做自评。其中</w:t>
      </w:r>
      <w:r>
        <w:rPr>
          <w:rFonts w:hint="eastAsia" w:ascii="Times New Roman" w:hAnsi="Times New Roman" w:eastAsia="仿宋" w:cs="仿宋"/>
          <w:color w:val="auto"/>
          <w:sz w:val="32"/>
          <w:szCs w:val="32"/>
          <w:lang w:val="en-US"/>
        </w:rPr>
        <w:t>2020</w:t>
      </w:r>
      <w:r>
        <w:rPr>
          <w:rFonts w:hint="eastAsia" w:ascii="仿宋" w:hAnsi="仿宋" w:eastAsia="仿宋" w:cs="仿宋"/>
          <w:color w:val="auto"/>
          <w:sz w:val="32"/>
          <w:szCs w:val="32"/>
          <w:lang w:val="en-US"/>
        </w:rPr>
        <w:t>年共有</w:t>
      </w:r>
      <w:r>
        <w:rPr>
          <w:rFonts w:hint="eastAsia" w:ascii="Times New Roman" w:hAnsi="Times New Roman" w:eastAsia="仿宋" w:cs="仿宋"/>
          <w:color w:val="auto"/>
          <w:sz w:val="32"/>
          <w:szCs w:val="32"/>
          <w:lang w:val="en-US"/>
        </w:rPr>
        <w:t>1</w:t>
      </w:r>
      <w:r>
        <w:rPr>
          <w:rFonts w:hint="eastAsia" w:ascii="仿宋" w:hAnsi="仿宋" w:eastAsia="仿宋" w:cs="仿宋"/>
          <w:color w:val="auto"/>
          <w:sz w:val="32"/>
          <w:szCs w:val="32"/>
          <w:lang w:val="en-US"/>
        </w:rPr>
        <w:t>个项目，涉及资金</w:t>
      </w:r>
      <w:r>
        <w:rPr>
          <w:rFonts w:hint="eastAsia" w:ascii="Times New Roman" w:hAnsi="Times New Roman" w:eastAsia="仿宋" w:cs="仿宋"/>
          <w:color w:val="auto"/>
          <w:sz w:val="32"/>
          <w:szCs w:val="32"/>
          <w:lang w:val="en-US"/>
        </w:rPr>
        <w:t>8</w:t>
      </w:r>
      <w:r>
        <w:rPr>
          <w:rFonts w:hint="eastAsia" w:ascii="仿宋" w:hAnsi="仿宋" w:eastAsia="仿宋" w:cs="仿宋"/>
          <w:color w:val="auto"/>
          <w:sz w:val="32"/>
          <w:szCs w:val="32"/>
          <w:lang w:val="en-US"/>
        </w:rPr>
        <w:t>万元（其中，州本级资金</w:t>
      </w:r>
      <w:r>
        <w:rPr>
          <w:rFonts w:hint="eastAsia" w:ascii="Times New Roman" w:hAnsi="Times New Roman" w:eastAsia="仿宋" w:cs="仿宋"/>
          <w:color w:val="auto"/>
          <w:sz w:val="32"/>
          <w:szCs w:val="32"/>
          <w:lang w:val="en-US"/>
        </w:rPr>
        <w:t>8</w:t>
      </w:r>
      <w:r>
        <w:rPr>
          <w:rFonts w:hint="eastAsia" w:ascii="仿宋" w:hAnsi="仿宋" w:eastAsia="仿宋" w:cs="仿宋"/>
          <w:color w:val="auto"/>
          <w:sz w:val="32"/>
          <w:szCs w:val="32"/>
          <w:lang w:val="en-US"/>
        </w:rPr>
        <w:t>万元，上级资金</w:t>
      </w:r>
      <w:r>
        <w:rPr>
          <w:rFonts w:hint="eastAsia" w:ascii="Times New Roman" w:hAnsi="Times New Roman" w:eastAsia="仿宋" w:cs="仿宋"/>
          <w:color w:val="auto"/>
          <w:sz w:val="32"/>
          <w:szCs w:val="32"/>
          <w:lang w:val="en-US"/>
        </w:rPr>
        <w:t>0</w:t>
      </w:r>
      <w:r>
        <w:rPr>
          <w:rFonts w:hint="eastAsia" w:ascii="仿宋" w:hAnsi="仿宋" w:eastAsia="仿宋" w:cs="仿宋"/>
          <w:color w:val="auto"/>
          <w:sz w:val="32"/>
          <w:szCs w:val="32"/>
          <w:lang w:val="en-US"/>
        </w:rPr>
        <w:t>万元），我单位从预算执行情况、项目实施情况、资金和项目管理情况，以及项目实现的产出情况和产生的效益等方面做自评，项目支出绩效自评表详见附表。</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黑体" w:hAnsi="黑体" w:eastAsia="黑体" w:cs="黑体"/>
          <w:color w:val="auto"/>
          <w:sz w:val="32"/>
          <w:szCs w:val="32"/>
          <w:lang w:val="en-US"/>
        </w:rPr>
      </w:pPr>
      <w:r>
        <w:rPr>
          <w:rFonts w:hint="eastAsia" w:ascii="黑体" w:hAnsi="黑体" w:eastAsia="黑体" w:cs="黑体"/>
          <w:color w:val="auto"/>
          <w:sz w:val="32"/>
          <w:szCs w:val="32"/>
          <w:lang w:val="en-US"/>
        </w:rPr>
        <w:t>四、名词解释</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（一）财政拨款收入：</w:t>
      </w:r>
      <w:r>
        <w:rPr>
          <w:rFonts w:hint="eastAsia" w:ascii="仿宋" w:hAnsi="仿宋" w:eastAsia="仿宋" w:cs="仿宋"/>
          <w:color w:val="auto"/>
          <w:sz w:val="32"/>
          <w:szCs w:val="32"/>
          <w:lang w:val="en-US"/>
        </w:rPr>
        <w:t>指同级财政当年拨付的资金。</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（二）上级补助收入：</w:t>
      </w:r>
      <w:r>
        <w:rPr>
          <w:rFonts w:hint="eastAsia" w:ascii="仿宋" w:hAnsi="仿宋" w:eastAsia="仿宋" w:cs="仿宋"/>
          <w:color w:val="auto"/>
          <w:sz w:val="32"/>
          <w:szCs w:val="32"/>
          <w:lang w:val="en-US"/>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（三）事业收入：</w:t>
      </w:r>
      <w:r>
        <w:rPr>
          <w:rFonts w:hint="eastAsia" w:ascii="仿宋" w:hAnsi="仿宋" w:eastAsia="仿宋" w:cs="仿宋"/>
          <w:color w:val="auto"/>
          <w:sz w:val="32"/>
          <w:szCs w:val="32"/>
          <w:lang w:val="en-US"/>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（四）经营收入：</w:t>
      </w:r>
      <w:r>
        <w:rPr>
          <w:rFonts w:hint="eastAsia" w:ascii="仿宋" w:hAnsi="仿宋" w:eastAsia="仿宋" w:cs="仿宋"/>
          <w:color w:val="auto"/>
          <w:sz w:val="32"/>
          <w:szCs w:val="32"/>
          <w:lang w:val="en-US"/>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（五）附属单位缴款：</w:t>
      </w:r>
      <w:r>
        <w:rPr>
          <w:rFonts w:hint="eastAsia" w:ascii="仿宋" w:hAnsi="仿宋" w:eastAsia="仿宋" w:cs="仿宋"/>
          <w:color w:val="auto"/>
          <w:sz w:val="32"/>
          <w:szCs w:val="32"/>
          <w:lang w:val="en-US"/>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（六）其他收入：</w:t>
      </w:r>
      <w:r>
        <w:rPr>
          <w:rFonts w:hint="eastAsia" w:ascii="仿宋" w:hAnsi="仿宋" w:eastAsia="仿宋" w:cs="仿宋"/>
          <w:color w:val="auto"/>
          <w:sz w:val="32"/>
          <w:szCs w:val="32"/>
          <w:lang w:val="en-US"/>
        </w:rPr>
        <w:t>指除上述“财政拨款收入”、“事业收入”、“经营收入”、“附属单位缴款”等之外取得的收入。</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（七）使用非财政拨款结余：</w:t>
      </w:r>
      <w:r>
        <w:rPr>
          <w:rFonts w:hint="eastAsia" w:ascii="仿宋" w:hAnsi="仿宋" w:eastAsia="仿宋" w:cs="仿宋"/>
          <w:color w:val="auto"/>
          <w:sz w:val="32"/>
          <w:szCs w:val="32"/>
          <w:lang w:val="en-US"/>
        </w:rPr>
        <w:t>指事业单位按照预算管理要求使用非财政拨款结余弥补收支差额的金额。</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（八）结转和结余：</w:t>
      </w:r>
      <w:r>
        <w:rPr>
          <w:rFonts w:hint="eastAsia" w:ascii="仿宋" w:hAnsi="仿宋" w:eastAsia="仿宋" w:cs="仿宋"/>
          <w:color w:val="auto"/>
          <w:sz w:val="32"/>
          <w:szCs w:val="32"/>
          <w:lang w:val="en-US"/>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（九）年末结转和结余：</w:t>
      </w:r>
      <w:r>
        <w:rPr>
          <w:rFonts w:hint="eastAsia" w:ascii="仿宋" w:hAnsi="仿宋" w:eastAsia="仿宋" w:cs="仿宋"/>
          <w:color w:val="auto"/>
          <w:sz w:val="32"/>
          <w:szCs w:val="32"/>
          <w:lang w:val="en-US"/>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（十）基本支出：</w:t>
      </w:r>
      <w:r>
        <w:rPr>
          <w:rFonts w:hint="eastAsia" w:ascii="仿宋" w:hAnsi="仿宋" w:eastAsia="仿宋" w:cs="仿宋"/>
          <w:color w:val="auto"/>
          <w:sz w:val="32"/>
          <w:szCs w:val="32"/>
          <w:lang w:val="en-US"/>
        </w:rPr>
        <w:t>指为保障机构正常运转、完成日常工作任务而发生的各项支出。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（十一）项目支出：</w:t>
      </w:r>
      <w:r>
        <w:rPr>
          <w:rFonts w:hint="eastAsia" w:ascii="仿宋" w:hAnsi="仿宋" w:eastAsia="仿宋" w:cs="仿宋"/>
          <w:color w:val="auto"/>
          <w:sz w:val="32"/>
          <w:szCs w:val="32"/>
          <w:lang w:val="en-US"/>
        </w:rPr>
        <w:t>指为完成特定的行政工作任务或事业发展目标，在基本支出之外发生的各项支出。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（十二）经营支出：</w:t>
      </w:r>
      <w:r>
        <w:rPr>
          <w:rFonts w:hint="eastAsia" w:ascii="仿宋" w:hAnsi="仿宋" w:eastAsia="仿宋" w:cs="仿宋"/>
          <w:color w:val="auto"/>
          <w:sz w:val="32"/>
          <w:szCs w:val="32"/>
          <w:lang w:val="en-US"/>
        </w:rPr>
        <w:t>指事业单位在专业活动及辅助活动之外开展非独立核算经营活动发生的支出。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（十三）对附属单位补助支出：</w:t>
      </w:r>
      <w:r>
        <w:rPr>
          <w:rFonts w:hint="eastAsia" w:ascii="仿宋" w:hAnsi="仿宋" w:eastAsia="仿宋" w:cs="仿宋"/>
          <w:color w:val="auto"/>
          <w:sz w:val="32"/>
          <w:szCs w:val="32"/>
          <w:lang w:val="en-US"/>
        </w:rPr>
        <w:t>指事业单位用财政补助收入之外的收入对附属单位补助发生的支出。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（十四）“三公”经费：</w:t>
      </w:r>
      <w:r>
        <w:rPr>
          <w:rFonts w:hint="eastAsia" w:ascii="仿宋" w:hAnsi="仿宋" w:eastAsia="仿宋" w:cs="仿宋"/>
          <w:color w:val="auto"/>
          <w:sz w:val="32"/>
          <w:szCs w:val="32"/>
          <w:lang w:val="en-US"/>
        </w:rPr>
        <w:t>纳入同级财政预决算管理的“三公”经费是指用一般公共预算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费，按规定保留的公务用车产生的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beforeLines="0" w:afterLines="0" w:line="576" w:lineRule="exact"/>
        <w:ind w:firstLine="640" w:firstLineChars="200"/>
        <w:jc w:val="both"/>
        <w:textAlignment w:val="auto"/>
        <w:rPr>
          <w:rFonts w:hint="eastAsia" w:ascii="仿宋" w:hAnsi="仿宋" w:eastAsia="仿宋" w:cs="仿宋"/>
          <w:color w:val="auto"/>
          <w:sz w:val="32"/>
          <w:szCs w:val="32"/>
          <w:lang w:val="en-US"/>
        </w:rPr>
      </w:pPr>
      <w:r>
        <w:rPr>
          <w:rFonts w:hint="eastAsia" w:ascii="楷体" w:hAnsi="楷体" w:eastAsia="楷体" w:cs="楷体"/>
          <w:color w:val="auto"/>
          <w:sz w:val="32"/>
          <w:szCs w:val="32"/>
          <w:lang w:val="en-US"/>
        </w:rPr>
        <w:t>（十五）机关运行经费：</w:t>
      </w:r>
      <w:r>
        <w:rPr>
          <w:rFonts w:hint="eastAsia" w:ascii="仿宋" w:hAnsi="仿宋" w:eastAsia="仿宋" w:cs="仿宋"/>
          <w:color w:val="auto"/>
          <w:sz w:val="32"/>
          <w:szCs w:val="32"/>
          <w:lang w:val="en-US"/>
        </w:rPr>
        <w:t>行政单位和参照公务员法管理的事业单位使用一般公共预算财政拨款安排的基本支出中的日常公用经费支出。包括办公费、印刷费、邮电费、差旅费、会议费、福利费等费用。</w:t>
      </w:r>
    </w:p>
    <w:p>
      <w:pPr>
        <w:jc w:val="both"/>
        <w:rPr>
          <w:rFonts w:hint="eastAsia" w:ascii="华文宋体" w:hAnsi="华文宋体" w:eastAsia="华文宋体" w:cs="华文宋体"/>
        </w:rPr>
      </w:pPr>
    </w:p>
    <w:sectPr>
      <w:pgSz w:w="12240" w:h="15840"/>
      <w:pgMar w:top="2098" w:right="1474" w:bottom="1984" w:left="1587"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lZDc5NWM2MmFmMzNjNTRhYjc3NTBkODJmMTUzNGQifQ=="/>
  </w:docVars>
  <w:rsids>
    <w:rsidRoot w:val="00172A27"/>
    <w:rsid w:val="01C11B23"/>
    <w:rsid w:val="0E8D201D"/>
    <w:rsid w:val="2DFF6008"/>
    <w:rsid w:val="54A23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4270</Words>
  <Characters>4738</Characters>
  <Lines>0</Lines>
  <Paragraphs>0</Paragraphs>
  <TotalTime>0</TotalTime>
  <ScaleCrop>false</ScaleCrop>
  <LinksUpToDate>false</LinksUpToDate>
  <CharactersWithSpaces>4741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2022-10-03T06:49:00Z</dcterms:created>
  <dc:creator>..</dc:creator>
  <cp:lastModifiedBy>韦小宝</cp:lastModifiedBy>
  <dcterms:modified xsi:type="dcterms:W3CDTF">2022-10-03T07:31:30Z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ED326216C2B74302AF88DC088487A54D</vt:lpwstr>
  </property>
</Properties>
</file>