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黔南州水务局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解读《黔南州水资源综合规划（修编）》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2024年10月12日，黔南州人民政府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以《黔南州人民政府关于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&lt;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黔南州水资源综合规划（修编）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&gt;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的批复》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（黔南府函〔2024〕115号）对《黔南州水资源综合规划（修编）》（以下简称《规划修编》）进行批复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2024年10月23日，黔南州水务局以《黔南州水务局关于印发&lt;黔南州水资源综合规划（修编）&gt;的通知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(黔南水资〔2024〕40号)印发该规划。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为便于全州各有关部门和社会各界更好理解相关内容，认真落实《规划（修编）》，现将有关政策解读如下：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一、《规划（修编）》的编制背景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为统筹黔南州境内水资源的开发、利用、治理、配置、节约和保护，2016年7月黔南州人民政府以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黔南州人民政府关于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&lt;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贵州省黔南州水资源综合规划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&gt;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的批复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》（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黔南府函〔2016〕140号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批复《黔南州水资源综合规划报告》（以下简称《原规划》）。《原规划》基准年为2012年，基准年至今已有11年时间，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水利发展基础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发生很大改变，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进入高质量发展阶段，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《原规划》已难以满足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新阶段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新要求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迫切需要在《原规划》基础上，根据黔南州经济社会发展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新布局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新要求开展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《规划（修编）》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工作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二、《规划（修编）》的主要目标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短期目标：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到20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5年，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水安全对经济社会发展的瓶颈制约基本解决，水安全保障能力显著提升。水资源配置格局明显优化，工程性缺水问题基本解决；近年来暴露的防洪薄弱环节基本解决，洪涝灾害防御能力明显提升；河湖生态状况逐步改善，生态安全屏障更加牢固；水利数字化、网络化、智能化水平明显提升；良性水治理体系初步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长期目标：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到2035年，建成与基本实现社会主义现代化相适应的水安全保障体系，黔南州水资源利用效率和效益显著提高，节水意识深入人心，节水行动成为全社会自觉行动，经济社会发展与水资源承载能力基本协调，城乡供水保障能力明显增强；江河湖泊流域防洪减灾体系基本完善，监测、预报、预警、预演、预案和防洪调度水平大幅提升；水生态空间得到有效保护，水土流失得到有效治理，河湖生态水量得到有效保障，美丽健康水生态系统基本形成；现代水治理体系基本建立，水利基本公共服务实现均等化，水法治体系基本健全，水安全保障智慧化水平大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短期目标和长期目标均量化为13个指标，其中包含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用水总量控制、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万元地区生产总值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用水量下降、万元工业增加值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用水量下降3个约束指标，供水安全系数、农田灌溉水有效利用系数、大中型骨干水源供水能力占比等10个预期性指标。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三、《规划（修编）》的主要内容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《规划（修编）》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在分析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黔南州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水利发展现状和水安全保障需求的基础上，对全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州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开发、利用、节约、保护水资源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防治水害等作出了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新的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系统规划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主要体现在以下6个方面：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（一）调整指导思想和规划目标指标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相比《原规划》指导思想增加了“牢牢把握国发〔2022〕2号文件的重大机遇，立足新发展阶段，完整、准确、全面贯彻新发展理念，构建新发展格局”，根据最严格水资源管理、水安全保障等要求，增加了用水总量控制目标、大中型骨干水源供水能力占比、规模化供水工程覆盖农村人口比例、重要河湖控制断面生态流量满足率、重要水利工程数字化率、中小河流监测率等目标，修改了农田灌溉用水有效利用系数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（二）重新核算多年平均水资源量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《原规划》现状水平年为2012年，《规划（修编）》将水文资料年限延长至2021年后，全州多年平均（1956—2016年）水资源量为166.4亿立方米（含地下水资源量37.3亿立方米），水资源可利用量为34.03亿立方米，水资源可利用率为20.5%。规划修编后，全州多年平均水资源量增加了1.3亿立方米，但受最严格水资源管理、生态红线划定等影响，水资源可利用量减少17.47亿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（三）重新优化水资源配置方案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预测全州2025年需水量达到12.86亿立方米，符合用水总量控制要求；预测全州2035年需水量达到15.79亿立方米，考虑非常规水源配置量后，需水量也符合用水总量控制要求。《规划（修编）》通过布局建设凤山水库、平寨水库、塘坎上等大中型水库，到2035年水利工程供水能力可达到20.95亿立方米，12个县（市）均能满足2035年用水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（四）重新完善城乡供水保障格局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结合全州城镇化、工业化、农业现代化等经济社会发展布局和规模，结合优化调整后的水源布局，重新完善了12个城区、11个工业园区、乡镇和农村、农业灌溉等供水保障方案，可有效保障城乡、产业园区和农业发展用水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（五）新增骨干水网规划内容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在省级水网建设总体框架下，从黔南州总体发展布局出发，综合考虑全州水资源配置、防洪减灾、水生态保护与修复、水网智慧化建设需求和任务，以大型水库为龙头，中型水库为骨干，小型水库、引提调工程为补充，统筹构建“北、中、南”的黔南水网布局。以“两江四水”为基础、“一横三纵”为主骨架、区域水网为补充、灌区渠系为脉络、智慧调控为手段，构建黔南水网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（六）完善水资源综合管理内容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根据最新水资源管理要求，完善了管理体制机制、法律法规和执法监督、水资源与水生态管理等方面内容。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5" w:type="default"/>
      <w:pgSz w:w="11907" w:h="16839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MqYvz1QAAAAIBAAAPAAAAAAAAAAEAIAAAADgAAABkcnMvZG93bnJl&#10;di54bWxQSwECFAAUAAAACACHTuJAJ2ztWuoBAACtAwAADgAAAAAAAAABACAAAAA6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386C6"/>
    <w:multiLevelType w:val="multilevel"/>
    <w:tmpl w:val="AD3386C6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tabs>
          <w:tab w:val="left" w:pos="0"/>
        </w:tabs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c2NTk4NjBhMThjZjMyOTY1ZWY4MWI4YjAyNjgwZGMifQ=="/>
  </w:docVars>
  <w:rsids>
    <w:rsidRoot w:val="00000000"/>
    <w:rsid w:val="57EBC238"/>
    <w:rsid w:val="67FE38BC"/>
    <w:rsid w:val="7F3DC423"/>
    <w:rsid w:val="BFF71007"/>
    <w:rsid w:val="D3FD7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beforeAutospacing="0" w:after="0" w:afterAutospacing="0" w:line="660" w:lineRule="exact"/>
      <w:ind w:left="0" w:firstLine="200" w:firstLineChars="200"/>
      <w:jc w:val="both"/>
      <w:outlineLvl w:val="1"/>
    </w:pPr>
    <w:rPr>
      <w:rFonts w:ascii="Times New Roman" w:hAnsi="Times New Roman" w:eastAsia="楷体_GB2312" w:cs="Times New Roman"/>
      <w:b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Pages>4</Pages>
  <Words>1985</Words>
  <Characters>2088</Characters>
  <Lines>87</Lines>
  <Paragraphs>23</Paragraphs>
  <TotalTime>96</TotalTime>
  <ScaleCrop>false</ScaleCrop>
  <LinksUpToDate>false</LinksUpToDate>
  <CharactersWithSpaces>2096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2010-09-09T14:51:00Z</dcterms:created>
  <dc:creator>龙泉</dc:creator>
  <cp:lastModifiedBy>ysgz</cp:lastModifiedBy>
  <cp:lastPrinted>2024-11-18T11:39:04Z</cp:lastPrinted>
  <dcterms:modified xsi:type="dcterms:W3CDTF">2024-11-18T12:12:05Z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B2075EF38D6941B2BBC335A870F80884_12</vt:lpwstr>
  </property>
</Properties>
</file>